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b/>
          <w:sz w:val="20"/>
          <w:szCs w:val="20"/>
        </w:rPr>
      </w:pPr>
      <w:r>
        <mc:AlternateContent>
          <mc:Choice Requires="wps">
            <w:drawing>
              <wp:anchor behindDoc="1" distT="635" distB="0" distL="635" distR="0" simplePos="0" locked="0" layoutInCell="1" allowOverlap="1" relativeHeight="2">
                <wp:simplePos x="0" y="0"/>
                <wp:positionH relativeFrom="column">
                  <wp:posOffset>-328295</wp:posOffset>
                </wp:positionH>
                <wp:positionV relativeFrom="paragraph">
                  <wp:posOffset>-112395</wp:posOffset>
                </wp:positionV>
                <wp:extent cx="10506075" cy="885825"/>
                <wp:effectExtent l="635" t="635" r="0" b="0"/>
                <wp:wrapNone/>
                <wp:docPr id="1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6240" cy="88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00"/>
                            </a:gs>
                            <a:gs pos="50000">
                              <a:srgbClr val="ffffff"/>
                            </a:gs>
                            <a:gs pos="100000">
                              <a:srgbClr val="ffcc00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#ffcc00" stroked="f" o:allowincell="f" style="position:absolute;margin-left:-25.85pt;margin-top:-8.85pt;width:827.2pt;height:69.7pt;mso-wrap-style:none;v-text-anchor:middle">
                <v:fill o:detectmouseclick="t" color2="#ffcc00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-528320</wp:posOffset>
            </wp:positionH>
            <wp:positionV relativeFrom="paragraph">
              <wp:posOffset>-140970</wp:posOffset>
            </wp:positionV>
            <wp:extent cx="1409700" cy="1409700"/>
            <wp:effectExtent l="0" t="0" r="0" b="0"/>
            <wp:wrapNone/>
            <wp:docPr id="2" name="obrázek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6924040</wp:posOffset>
            </wp:positionH>
            <wp:positionV relativeFrom="paragraph">
              <wp:posOffset>11430</wp:posOffset>
            </wp:positionV>
            <wp:extent cx="2634615" cy="523875"/>
            <wp:effectExtent l="0" t="0" r="0" b="0"/>
            <wp:wrapNone/>
            <wp:docPr id="3" name="obrázek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43" r="-8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Univerzitní mateřská škola Qočna, školská právnická osoba</w:t>
      </w:r>
    </w:p>
    <w:p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nám. T. G. Masaryka 3050, 760 01 Zlín</w:t>
      </w:r>
    </w:p>
    <w:p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www.qocna.utb.cz, IČO: 01 889 893</w:t>
      </w:r>
    </w:p>
    <w:p>
      <w:pPr>
        <w:pStyle w:val="Header"/>
        <w:tabs>
          <w:tab w:val="clear" w:pos="9072"/>
          <w:tab w:val="center" w:pos="4536" w:leader="none"/>
        </w:tabs>
        <w:jc w:val="center"/>
        <w:rPr/>
      </w:pPr>
      <w:r>
        <w:rPr>
          <w:rFonts w:cs="Calibri"/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e-mail: qocna@utb.cz, tel: 576 03 6015     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"/>
        </w:numPr>
        <w:ind w:firstLine="708" w:start="0" w:end="0"/>
        <w:rPr>
          <w:rFonts w:ascii="Arial" w:hAnsi="Arial" w:cs="Arial"/>
        </w:rPr>
      </w:pPr>
      <w:r>
        <w:rPr>
          <w:rFonts w:cs="Arial" w:ascii="Arial" w:hAnsi="Arial"/>
        </w:rPr>
        <w:t>Vnitřní řád školní jídelny – výdejny</w:t>
      </w:r>
    </w:p>
    <w:p>
      <w:pPr>
        <w:pStyle w:val="BodyText"/>
        <w:ind w:firstLine="708" w:start="0" w:end="0"/>
        <w:jc w:val="center"/>
        <w:rPr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Školní rok 2025-2026</w:t>
      </w:r>
    </w:p>
    <w:p>
      <w:pPr>
        <w:pStyle w:val="Heading1"/>
        <w:numPr>
          <w:ilvl w:val="0"/>
          <w:numId w:val="1"/>
        </w:numPr>
        <w:ind w:hanging="0" w:start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Univerzitní mateřská škola Qočna, školská právnická osoba</w:t>
      </w:r>
    </w:p>
    <w:p>
      <w:pPr>
        <w:pStyle w:val="Normlnweb"/>
        <w:rPr/>
      </w:pPr>
      <w:r>
        <w:rPr/>
        <w:t>Vyplývá ze:</w:t>
      </w:r>
    </w:p>
    <w:p>
      <w:pPr>
        <w:pStyle w:val="Normlnweb"/>
        <w:ind w:start="540" w:end="0"/>
        <w:rPr/>
      </w:pPr>
      <w:r>
        <w:rPr/>
        <w:t>zákona č.561/2004 Sb., o předškolním, základním, středním, vyšším odborném a jiném vzdělávání (školský zákon) v platném znění,</w:t>
      </w:r>
    </w:p>
    <w:p>
      <w:pPr>
        <w:pStyle w:val="Normlnweb"/>
        <w:rPr/>
      </w:pPr>
      <w:r>
        <w:rPr/>
        <w:t>      </w:t>
      </w:r>
      <w:r>
        <w:rPr>
          <w:rFonts w:eastAsia="Times New Roman"/>
        </w:rPr>
        <w:t xml:space="preserve"> </w:t>
      </w:r>
      <w:r>
        <w:rPr/>
        <w:t> </w:t>
      </w:r>
      <w:r>
        <w:rPr>
          <w:rFonts w:eastAsia="Times New Roman"/>
        </w:rPr>
        <w:t xml:space="preserve"> </w:t>
      </w:r>
      <w:r>
        <w:rPr/>
        <w:t>vyhlášky č.107/2005 Sb., o školním stravování, ve znění pozdějších předpisů</w:t>
      </w:r>
    </w:p>
    <w:p>
      <w:pPr>
        <w:pStyle w:val="Normlnweb"/>
        <w:rPr/>
      </w:pPr>
      <w:r>
        <w:rPr/>
        <w:t>        </w:t>
      </w:r>
      <w:r>
        <w:rPr>
          <w:rFonts w:eastAsia="Times New Roman"/>
        </w:rPr>
        <w:t xml:space="preserve"> </w:t>
      </w:r>
      <w:r>
        <w:rPr/>
        <w:t>platných hygienických předpisů</w:t>
      </w:r>
    </w:p>
    <w:p>
      <w:pPr>
        <w:pStyle w:val="Normlnweb"/>
        <w:rPr/>
      </w:pPr>
      <w:r>
        <w:rPr>
          <w:rFonts w:eastAsia="Times New Roman"/>
          <w:b/>
        </w:rPr>
        <w:t xml:space="preserve">  </w:t>
      </w:r>
      <w:r>
        <w:rPr>
          <w:b/>
        </w:rPr>
        <w:t>I. Údaje o zařízení</w:t>
      </w:r>
    </w:p>
    <w:p>
      <w:pPr>
        <w:pStyle w:val="Normal"/>
        <w:ind w:start="360" w:end="0"/>
        <w:rPr/>
      </w:pPr>
      <w:r>
        <w:rPr>
          <w:b/>
        </w:rPr>
        <w:t>Název zařízení:</w:t>
        <w:tab/>
      </w:r>
      <w:r>
        <w:rPr/>
        <w:t>Univerzitní mateřská škola Qočna</w:t>
      </w:r>
    </w:p>
    <w:p>
      <w:pPr>
        <w:pStyle w:val="Normal"/>
        <w:ind w:start="360" w:end="0"/>
        <w:rPr/>
      </w:pPr>
      <w:r>
        <w:rPr>
          <w:b/>
        </w:rPr>
        <w:t>Právní forma:</w:t>
      </w:r>
      <w:r>
        <w:rPr/>
        <w:t xml:space="preserve">     Školská právnická osoba </w:t>
      </w:r>
    </w:p>
    <w:p>
      <w:pPr>
        <w:pStyle w:val="Normal"/>
        <w:ind w:start="360" w:end="0"/>
        <w:rPr/>
      </w:pPr>
      <w:r>
        <w:rPr>
          <w:b/>
        </w:rPr>
        <w:t>Adresa:</w:t>
        <w:tab/>
        <w:tab/>
      </w:r>
      <w:r>
        <w:rPr/>
        <w:t>nám. T. G. Masaryka 3050, 760 01 Zlín</w:t>
      </w:r>
    </w:p>
    <w:p>
      <w:pPr>
        <w:pStyle w:val="Normal"/>
        <w:ind w:hanging="1764" w:start="2124" w:end="0"/>
        <w:rPr/>
      </w:pPr>
      <w:r>
        <w:rPr>
          <w:b/>
        </w:rPr>
        <w:t>Zřizovatel:</w:t>
        <w:tab/>
      </w:r>
      <w:r>
        <w:rPr/>
        <w:t>Univerzita Tomáše Bati ve Zlíně, nám. T. G. Masaryka 5555, 760 01 Zlín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II. Specifikace výdejny stravy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8"/>
        </w:numPr>
        <w:jc w:val="both"/>
        <w:rPr/>
      </w:pPr>
      <w:r>
        <w:rPr/>
        <w:t xml:space="preserve">Výdejna stravy slouží k potřebám školské právnické osoby Univerzitní mateřské školy Qočna (dále jen UMŠ) ve Zlíně. </w:t>
      </w:r>
    </w:p>
    <w:p>
      <w:pPr>
        <w:pStyle w:val="Normal"/>
        <w:numPr>
          <w:ilvl w:val="1"/>
          <w:numId w:val="8"/>
        </w:numPr>
        <w:jc w:val="both"/>
        <w:rPr/>
      </w:pPr>
      <w:r>
        <w:rPr/>
        <w:t>UMŠ splňuje veškerá kritéria zařízení pro předškolní vzdělávání.</w:t>
      </w:r>
    </w:p>
    <w:p>
      <w:pPr>
        <w:pStyle w:val="Normal"/>
        <w:numPr>
          <w:ilvl w:val="1"/>
          <w:numId w:val="8"/>
        </w:numPr>
        <w:jc w:val="both"/>
        <w:rPr/>
      </w:pPr>
      <w:r>
        <w:rPr/>
        <w:t xml:space="preserve">Prostory UMŠ jsou členěny do tří tříd, 1. a 2. třída je určena pro 24 dětí, 3. třída je určena pro 13 dětí. </w:t>
      </w:r>
    </w:p>
    <w:p>
      <w:pPr>
        <w:pStyle w:val="Normal"/>
        <w:numPr>
          <w:ilvl w:val="1"/>
          <w:numId w:val="8"/>
        </w:numPr>
        <w:jc w:val="both"/>
        <w:rPr/>
      </w:pPr>
      <w:r>
        <w:rPr/>
        <w:t>Výdejna stravy slouží pro potřeby všech tříd UMŠ, celkem se jedná o 61 dětí.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III. Dodávka a dovoz stravy 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Stravu do UMŠ dodává Menza UTB ve Zlíně.</w:t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Dovoz stravy zajišťuje svými vozidly dodavatel stravy.</w:t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Dovoz stravy je organizován tak, aby snídaně a ovocná přesnídávka dětí byla dodána</w:t>
      </w:r>
    </w:p>
    <w:p>
      <w:pPr>
        <w:pStyle w:val="Normal"/>
        <w:numPr>
          <w:ilvl w:val="0"/>
          <w:numId w:val="0"/>
        </w:numPr>
        <w:ind w:hanging="0" w:start="720"/>
        <w:jc w:val="center"/>
        <w:rPr/>
      </w:pPr>
      <w:r>
        <w:rPr/>
        <w:t>1</w:t>
      </w:r>
    </w:p>
    <w:p>
      <w:pPr>
        <w:pStyle w:val="Normal"/>
        <w:numPr>
          <w:ilvl w:val="0"/>
          <w:numId w:val="0"/>
        </w:numPr>
        <w:ind w:hanging="0" w:start="720"/>
        <w:jc w:val="both"/>
        <w:rPr/>
      </w:pPr>
      <w:r>
        <w:rPr/>
        <w:t>do výdejny stravy denně do 7:00 hodin a oběd a odpolední svačina je přivážena denně</w:t>
      </w:r>
    </w:p>
    <w:p>
      <w:pPr>
        <w:pStyle w:val="Normal"/>
        <w:numPr>
          <w:ilvl w:val="0"/>
          <w:numId w:val="0"/>
        </w:numPr>
        <w:ind w:hanging="0" w:start="720"/>
        <w:jc w:val="both"/>
        <w:rPr/>
      </w:pPr>
      <w:r>
        <w:rPr/>
        <w:t xml:space="preserve">do 11 hodin. </w:t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 xml:space="preserve">Strava je převážena v gastronádobách, které jsou uloženy v termoportech. </w:t>
      </w:r>
    </w:p>
    <w:p>
      <w:pPr>
        <w:pStyle w:val="Normal"/>
        <w:numPr>
          <w:ilvl w:val="0"/>
          <w:numId w:val="0"/>
        </w:numPr>
        <w:ind w:hanging="0" w:start="720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IV. Manipulace se stravou a výdej stravy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1"/>
        </w:numPr>
        <w:jc w:val="both"/>
        <w:rPr/>
      </w:pPr>
      <w:r>
        <w:rPr/>
        <w:t>Výdej stravy zajišťuje personál k tomu určený, který před nástupem do zaměstnání absolvoval vstupní preventivní prohlídku a který je držitelem zdravotního průkazu.</w:t>
      </w:r>
    </w:p>
    <w:p>
      <w:pPr>
        <w:pStyle w:val="Normal"/>
        <w:numPr>
          <w:ilvl w:val="1"/>
          <w:numId w:val="11"/>
        </w:numPr>
        <w:jc w:val="both"/>
        <w:rPr/>
      </w:pPr>
      <w:r>
        <w:rPr/>
        <w:t>Personál určený k výdeji stravy si musí před započetím práce a po každé činnosti umýt ruce mýdlem a kartáčkem pod tekoucí vodou v umývadle vybaveném vodovodní baterií s dlouhým táhlem proti kontaminaci rukou. Pracovní oděv musí být vždy čistý a při přechodu z jiné činnosti vždy vyměňován. V kapsách pracovního oděvu nesmí být nic kromě kapesníku. Personál musí při výdeji používat pokrývku hlavy a jednorázové rukavice. V pracovním oděvu se nesmí odcházet mimo pracoviště. Při cestě na toaletu je třeba pracovní oděv odložit a po pečlivém umytí rukou znovu obléci. V průběhu práce ve výdejně stravy nesmí pracovník provádět toaletní a kosmetické úpravy zevnějšku.</w:t>
      </w:r>
    </w:p>
    <w:p>
      <w:pPr>
        <w:pStyle w:val="Normal"/>
        <w:numPr>
          <w:ilvl w:val="1"/>
          <w:numId w:val="11"/>
        </w:numPr>
        <w:jc w:val="both"/>
        <w:rPr/>
      </w:pPr>
      <w:r>
        <w:rPr/>
        <w:t xml:space="preserve">Personál UMŠ zajišťující výdej stravy je povinen vést Deník HACCP (Analýzy rizika a stanovení kritických kontrolních bodů - </w:t>
      </w:r>
      <w:r>
        <w:rPr>
          <w:i/>
        </w:rPr>
        <w:t>Hazard Analysis and Critical Control Points</w:t>
      </w:r>
      <w:r>
        <w:rPr/>
        <w:t>) a do něj denně zaznamenávat kritické body, zejména teplotu dovezené stravy, která nesmí poklesnout pod 63°C. Teplota se ověřuje vpichovým teploměrem a zapisuje do deníku.</w:t>
      </w:r>
    </w:p>
    <w:p>
      <w:pPr>
        <w:pStyle w:val="Normal"/>
        <w:numPr>
          <w:ilvl w:val="1"/>
          <w:numId w:val="11"/>
        </w:numPr>
        <w:jc w:val="both"/>
        <w:rPr/>
      </w:pPr>
      <w:r>
        <w:rPr/>
        <w:t xml:space="preserve">Výdej stravy se provádí co nejdříve po dovozu stravy, aby neklesla teplota vydávané stravy pod 63°C. V opačném případě je nutné porce před vydáváním dohřát na požadovanou teplotu. Při výdeji stravy je potřeba používat vhodných pomůcek pro manipulaci s potravinami. </w:t>
      </w:r>
    </w:p>
    <w:p>
      <w:pPr>
        <w:pStyle w:val="Normal"/>
        <w:numPr>
          <w:ilvl w:val="1"/>
          <w:numId w:val="11"/>
        </w:numPr>
        <w:jc w:val="both"/>
        <w:rPr/>
      </w:pPr>
      <w:r>
        <w:rPr/>
        <w:t xml:space="preserve">Stravu, která se pro potřeby dětí před výdejem ještě porcuje, je nutno porcovat na barevně odlišných krájecích deskách, které jsou ve výbavě výdejny stravy a jsou ke svému účelu důkladně označeny. </w:t>
      </w:r>
    </w:p>
    <w:p>
      <w:pPr>
        <w:pStyle w:val="Normal"/>
        <w:numPr>
          <w:ilvl w:val="1"/>
          <w:numId w:val="11"/>
        </w:numPr>
        <w:jc w:val="both"/>
        <w:rPr>
          <w:color w:val="FF0000"/>
        </w:rPr>
      </w:pPr>
      <w:r>
        <w:rPr/>
        <w:t>Nespotřebovaná strava se denně likviduje.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000000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V. Pravidla ke konzumaci vlastního jídla dětí ve školní jídelně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  <w:sz w:val="24"/>
          <w:szCs w:val="24"/>
        </w:rPr>
        <w:t>- dítě si může přinést své vlastní jídlo a sníst si jej společně s ostatními ve školní jídelně,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  <w:sz w:val="24"/>
          <w:szCs w:val="24"/>
        </w:rPr>
        <w:t>jídla lze i kombinovat: část jídla z jídelny (např. nápoj, salát, polévka, příloha) + část jídla doneseného (hlavní chod). Při odběru pouze části oběda se účtuje plná cena oběda,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  <w:sz w:val="24"/>
          <w:szCs w:val="24"/>
        </w:rPr>
        <w:t>- školní jídelna poskytne dítěti nezbytnou pomoc při konzumaci, například podání příboru či asistenci u stolu,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  <w:sz w:val="24"/>
          <w:szCs w:val="24"/>
        </w:rPr>
        <w:t xml:space="preserve">- nezbytná pomoc nezahrnuje ohřev jídla, jeho uchování v lednici, mytí nádobí ani likvidaci zbytků vlastní stravy, 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  <w:sz w:val="24"/>
          <w:szCs w:val="24"/>
        </w:rPr>
        <w:t>- dítě nesmí nechat ochutnávat vlastní stravu dalším strávníkům,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  <w:sz w:val="24"/>
          <w:szCs w:val="24"/>
        </w:rPr>
        <w:t>- zákonný zástupce dítěte zodpovídá za bezpečnost a zdravotní nezávadnost vlastní donesené stravy.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Arial Unicode MS"/>
          <w:b/>
          <w:bCs/>
        </w:rPr>
        <w:t>VI. Práva a povinnosti strávníků, pravidla vzájemných vztahů s  pracovníky školy</w:t>
      </w:r>
    </w:p>
    <w:p>
      <w:pPr>
        <w:pStyle w:val="Normal"/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</w:r>
    </w:p>
    <w:p>
      <w:pPr>
        <w:pStyle w:val="Normal"/>
        <w:jc w:val="both"/>
        <w:rPr/>
      </w:pPr>
      <w:r>
        <w:rPr/>
        <w:t>Strávník má právo: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stravovat se ve školní jídelně - výdejně podle školského zákona</w:t>
      </w:r>
    </w:p>
    <w:p>
      <w:pPr>
        <w:pStyle w:val="Normal"/>
        <w:numPr>
          <w:ilvl w:val="0"/>
          <w:numId w:val="0"/>
        </w:numPr>
        <w:ind w:hanging="0" w:start="720"/>
        <w:jc w:val="center"/>
        <w:rPr/>
      </w:pPr>
      <w:r>
        <w:rPr/>
        <w:t>2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na kvalitní a vyváženou stravu podle zásad racionální výživy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na kulturní prostředí při stolování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na porci odpovídající normativu dle věkových kategorií</w:t>
      </w:r>
    </w:p>
    <w:p>
      <w:pPr>
        <w:pStyle w:val="Zkladntextodsazen2"/>
        <w:numPr>
          <w:ilvl w:val="0"/>
          <w:numId w:val="5"/>
        </w:numPr>
        <w:spacing w:lineRule="auto" w:line="240" w:before="0" w:after="0"/>
        <w:ind w:hanging="360" w:start="720" w:end="0"/>
        <w:jc w:val="both"/>
        <w:rPr/>
      </w:pPr>
      <w:r>
        <w:rPr>
          <w:rFonts w:eastAsia="Arial Unicode MS"/>
        </w:rPr>
        <w:t>na dostatek času pro konzumaci oběda</w:t>
      </w:r>
    </w:p>
    <w:p>
      <w:pPr>
        <w:pStyle w:val="Zkladntextodsazen2"/>
        <w:numPr>
          <w:ilvl w:val="0"/>
          <w:numId w:val="0"/>
        </w:numPr>
        <w:spacing w:lineRule="auto" w:line="240" w:before="0" w:after="0"/>
        <w:ind w:hanging="0" w:start="720" w:end="0"/>
        <w:jc w:val="both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jc w:val="both"/>
        <w:rPr/>
      </w:pPr>
      <w:r>
        <w:rPr/>
        <w:t xml:space="preserve">Strávník má povinnost: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dodržovat vnitřní řád školní jídelny - výdejny chovat se při stravování ohleduplně, v souladu s hygienickými a společenskými pravidly stolování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řídit se pokyny dohlížejícího pedagoga a pracovnice pro výdej stravy </w:t>
      </w:r>
    </w:p>
    <w:p>
      <w:pPr>
        <w:pStyle w:val="PlainText"/>
        <w:numPr>
          <w:ilvl w:val="0"/>
          <w:numId w:val="9"/>
        </w:numPr>
        <w:tabs>
          <w:tab w:val="clear" w:pos="708"/>
          <w:tab w:val="left" w:pos="720" w:leader="none"/>
        </w:tabs>
        <w:jc w:val="both"/>
        <w:textAlignment w:val="baseline"/>
        <w:rPr>
          <w:rFonts w:ascii="Times New Roman" w:hAnsi="Times New Roman" w:cs="Arial"/>
          <w:sz w:val="24"/>
          <w:szCs w:val="22"/>
        </w:rPr>
      </w:pPr>
      <w:r>
        <w:rPr>
          <w:rFonts w:cs="Arial" w:ascii="Times New Roman" w:hAnsi="Times New Roman"/>
          <w:sz w:val="24"/>
          <w:szCs w:val="22"/>
        </w:rPr>
        <w:t>vydané jídlo je určeno ke konzumaci ve třídě, strávníci je neodnášejí z místnosti</w:t>
      </w:r>
    </w:p>
    <w:p>
      <w:pPr>
        <w:pStyle w:val="Normal"/>
        <w:numPr>
          <w:ilvl w:val="0"/>
          <w:numId w:val="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pedagogický pracovník zajišťující dohled nad dětmi zajišťuje bezpečnost a nezbytná organizační opatření , dopomáhá dětem dle potřeby</w:t>
      </w:r>
    </w:p>
    <w:p>
      <w:pPr>
        <w:pStyle w:val="Zkladntextodsazen2"/>
        <w:numPr>
          <w:ilvl w:val="0"/>
          <w:numId w:val="6"/>
        </w:numPr>
        <w:spacing w:lineRule="auto" w:line="240" w:before="0" w:after="0"/>
        <w:ind w:hanging="360" w:start="720" w:end="0"/>
        <w:jc w:val="both"/>
        <w:rPr>
          <w:rFonts w:eastAsia="Arial Unicode MS" w:cs="Arial"/>
          <w:szCs w:val="22"/>
        </w:rPr>
      </w:pPr>
      <w:r>
        <w:rPr>
          <w:rFonts w:eastAsia="Arial Unicode MS" w:cs="Arial"/>
          <w:szCs w:val="22"/>
        </w:rPr>
        <w:t xml:space="preserve">dohlížející pedagog a pracovnice pro výdej stravy, která vydává stravu, jsou povinni respektovat práva dětí a zajišťovat jejich uplatňování </w:t>
      </w:r>
    </w:p>
    <w:p>
      <w:pPr>
        <w:pStyle w:val="Normal"/>
        <w:jc w:val="both"/>
        <w:rPr/>
      </w:pPr>
      <w:r>
        <w:rPr>
          <w:rFonts w:eastAsia="Times New Roman"/>
          <w:b/>
        </w:rPr>
        <w:t xml:space="preserve"> </w:t>
      </w:r>
      <w:r>
        <w:rPr>
          <w:rFonts w:eastAsia="Arial" w:cs="Arial" w:ascii="Arial" w:hAnsi="Arial"/>
          <w:i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Arial" w:hAnsi="Arial" w:eastAsia="Arial Unicode MS" w:cs="Arial"/>
          <w:b/>
          <w:sz w:val="22"/>
          <w:szCs w:val="22"/>
        </w:rPr>
      </w:pPr>
      <w:r>
        <w:rPr>
          <w:rFonts w:eastAsia="Arial Unicode MS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cs="Arial"/>
          <w:szCs w:val="22"/>
        </w:rPr>
      </w:pPr>
      <w:r>
        <w:rPr>
          <w:rFonts w:eastAsia="Arial Unicode MS" w:cs="Arial"/>
          <w:b/>
          <w:szCs w:val="22"/>
        </w:rPr>
        <w:t xml:space="preserve">VII.  </w:t>
      </w:r>
      <w:r>
        <w:rPr>
          <w:rFonts w:cs="Arial"/>
          <w:b/>
          <w:bCs/>
          <w:szCs w:val="22"/>
        </w:rPr>
        <w:t>Provoz školní jídelny, organizace činnosti</w:t>
      </w:r>
    </w:p>
    <w:p>
      <w:pPr>
        <w:pStyle w:val="Normal"/>
        <w:jc w:val="both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Do školní jídelny-výdejny mají povolen vstup pouze pracovníci školy.</w:t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 UMŠ se </w:t>
      </w:r>
      <w:r>
        <w:rPr>
          <w:rFonts w:cs="Arial"/>
          <w:b/>
          <w:szCs w:val="22"/>
        </w:rPr>
        <w:t>dopolední snídaně vydává od 8.00 – do 8.30 hodin, oběd od 11.30 – do 12:00 hodin a odpolední svačina od 14.00 – do 14.30 hodin</w:t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Zákonný zástupce přihlašuje své dítě ke školnímu stravování na základě vyplněné smlouvy o poskytování služeb UMŠ.</w:t>
      </w:r>
    </w:p>
    <w:p>
      <w:pPr>
        <w:pStyle w:val="PlainText"/>
        <w:numPr>
          <w:ilvl w:val="0"/>
          <w:numId w:val="9"/>
        </w:numPr>
        <w:tabs>
          <w:tab w:val="clear" w:pos="708"/>
          <w:tab w:val="left" w:pos="720" w:leader="none"/>
        </w:tabs>
        <w:jc w:val="both"/>
        <w:textAlignment w:val="baseline"/>
        <w:rPr>
          <w:rFonts w:ascii="Times New Roman" w:hAnsi="Times New Roman" w:cs="Arial"/>
          <w:sz w:val="24"/>
          <w:szCs w:val="22"/>
        </w:rPr>
      </w:pPr>
      <w:r>
        <w:rPr>
          <w:rFonts w:cs="Arial" w:ascii="Times New Roman" w:hAnsi="Times New Roman"/>
          <w:sz w:val="24"/>
          <w:szCs w:val="22"/>
        </w:rPr>
        <w:t>Strávníkům je vydáván kompletní oběd včetně masa a příloh. Děti nejsou nuceni ke konzumaci celého vydaného jídla a vraceni k dojídání, jsou pouze vybídnuti k ochutnání.</w:t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Úhrada za stravování se provádí inkasem z účtu zákonného zástupce zpětně. </w:t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Ceny se řídí smlouvou s Menzou UTB Zlín,</w:t>
      </w:r>
      <w:r>
        <w:rPr/>
        <w:t xml:space="preserve"> která zajišťuje dodávku stravy do naší UMŠ.</w:t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Stravu odhlašují rodiče předem, nejpozději do 7.20 hodin – v rezervačním systému webových stránek UMŠ.</w:t>
      </w:r>
    </w:p>
    <w:p>
      <w:pPr>
        <w:pStyle w:val="Normal"/>
        <w:numPr>
          <w:ilvl w:val="0"/>
          <w:numId w:val="9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 děti a zaměstnance školy se obědy do jídlonosiče vydávají v ceně finanční normy pouze v první den onemocnění, pokud se nejedná o infekční onemocnění (tzn. první den neplánované nepřítomnosti strávníka ve škole se považuje, za pobyt ve škole). </w:t>
      </w:r>
    </w:p>
    <w:p>
      <w:pPr>
        <w:pStyle w:val="PlainText"/>
        <w:numPr>
          <w:ilvl w:val="0"/>
          <w:numId w:val="9"/>
        </w:numPr>
        <w:tabs>
          <w:tab w:val="clear" w:pos="708"/>
          <w:tab w:val="left" w:pos="720" w:leader="none"/>
        </w:tabs>
        <w:ind w:hanging="0" w:start="357" w:end="0"/>
        <w:jc w:val="both"/>
        <w:textAlignment w:val="baseline"/>
        <w:rPr>
          <w:rFonts w:ascii="Times New Roman" w:hAnsi="Times New Roman" w:cs="Arial"/>
          <w:sz w:val="24"/>
          <w:szCs w:val="22"/>
        </w:rPr>
      </w:pPr>
      <w:r>
        <w:rPr>
          <w:rFonts w:cs="Arial" w:ascii="Times New Roman" w:hAnsi="Times New Roman"/>
          <w:sz w:val="24"/>
          <w:szCs w:val="22"/>
        </w:rPr>
        <w:t>Běžný úklid během provozní doby zajišťuje v jídelně-výdejně pracovnice pro výdej stravy, včetně stolů a podlahy znečištěných jídlem.</w:t>
      </w:r>
    </w:p>
    <w:p>
      <w:pPr>
        <w:pStyle w:val="PlainText"/>
        <w:numPr>
          <w:ilvl w:val="0"/>
          <w:numId w:val="9"/>
        </w:numPr>
        <w:tabs>
          <w:tab w:val="clear" w:pos="708"/>
          <w:tab w:val="left" w:pos="720" w:leader="none"/>
        </w:tabs>
        <w:ind w:hanging="0" w:start="357" w:end="0"/>
        <w:jc w:val="both"/>
        <w:textAlignment w:val="baseline"/>
        <w:rPr>
          <w:rFonts w:ascii="Times New Roman" w:hAnsi="Times New Roman" w:cs="Arial"/>
          <w:sz w:val="24"/>
          <w:szCs w:val="22"/>
        </w:rPr>
      </w:pPr>
      <w:r>
        <w:rPr>
          <w:rFonts w:cs="Arial" w:ascii="Times New Roman" w:hAnsi="Times New Roman"/>
          <w:sz w:val="24"/>
          <w:szCs w:val="22"/>
        </w:rPr>
        <w:t xml:space="preserve">Úklid po skončení provozní doby zajišťuje uklízečka UMŠ. </w:t>
      </w:r>
    </w:p>
    <w:p>
      <w:pPr>
        <w:pStyle w:val="PlainText"/>
        <w:numPr>
          <w:ilvl w:val="0"/>
          <w:numId w:val="9"/>
        </w:numPr>
        <w:tabs>
          <w:tab w:val="clear" w:pos="708"/>
          <w:tab w:val="left" w:pos="720" w:leader="none"/>
        </w:tabs>
        <w:ind w:hanging="0" w:start="357" w:end="0"/>
        <w:jc w:val="both"/>
        <w:textAlignment w:val="baseline"/>
        <w:rPr>
          <w:rFonts w:ascii="Times New Roman" w:hAnsi="Times New Roman" w:cs="Arial"/>
          <w:sz w:val="24"/>
          <w:szCs w:val="22"/>
        </w:rPr>
      </w:pPr>
      <w:r>
        <w:rPr>
          <w:rFonts w:cs="Arial" w:ascii="Times New Roman" w:hAnsi="Times New Roman"/>
          <w:sz w:val="24"/>
          <w:szCs w:val="22"/>
        </w:rPr>
        <w:t>Jídelní lístek se vyvěšuje na chodbě při vstupu do UMŠ, na nástěnkách v šatnách tříd  a na webu školy, vždy v pátek na období následujícího týdne.</w:t>
      </w:r>
    </w:p>
    <w:p>
      <w:pPr>
        <w:pStyle w:val="PlainText"/>
        <w:tabs>
          <w:tab w:val="clear" w:pos="708"/>
          <w:tab w:val="left" w:pos="720" w:leader="none"/>
        </w:tabs>
        <w:spacing w:lineRule="auto" w:line="360"/>
        <w:ind w:start="360" w:end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VIII. </w:t>
      </w:r>
      <w:r>
        <w:rPr>
          <w:b/>
        </w:rPr>
        <w:t xml:space="preserve">Podmínky zajištění bezpečnosti a ochrany zdraví  </w:t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numPr>
          <w:ilvl w:val="0"/>
          <w:numId w:val="7"/>
        </w:numPr>
        <w:rPr/>
      </w:pPr>
      <w:r>
        <w:rPr/>
        <w:t>Bezpečnost a ochrana zdraví dětí ve školní jídelně je zajištěna po celou dobu provozu školní jídelny – výdejny.</w:t>
      </w:r>
    </w:p>
    <w:p>
      <w:pPr>
        <w:pStyle w:val="Normal"/>
        <w:numPr>
          <w:ilvl w:val="0"/>
          <w:numId w:val="7"/>
        </w:numPr>
        <w:rPr/>
      </w:pPr>
      <w:r>
        <w:rPr/>
        <w:t>Bezpečnost při výdeji jídla zajišťuje pedagogický pracovník, který dbá o bezpečnost strávníků, organizuje odběr stravy a dohlíží na čistotu a bezpečnost prostředí, zejména podlahy.</w:t>
      </w:r>
    </w:p>
    <w:p>
      <w:pPr>
        <w:pStyle w:val="Normal"/>
        <w:numPr>
          <w:ilvl w:val="0"/>
          <w:numId w:val="0"/>
        </w:numPr>
        <w:ind w:hanging="0" w:start="720"/>
        <w:jc w:val="center"/>
        <w:rPr/>
      </w:pPr>
      <w:r>
        <w:rPr/>
        <w:t xml:space="preserve">3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Děti dodržují při výdeji jídla zásady bezpečnosti a ochrany zdraví, při svém počínání mají na paměti nebezpečí úrazu. </w:t>
      </w:r>
    </w:p>
    <w:p>
      <w:pPr>
        <w:pStyle w:val="Normal"/>
        <w:numPr>
          <w:ilvl w:val="0"/>
          <w:numId w:val="7"/>
        </w:numPr>
        <w:rPr/>
      </w:pPr>
      <w:r>
        <w:rPr/>
        <w:t>Každá nehoda, poranění či zdravotní indispozice po dobu výdeje jídla se řeší jako školní úraz. Pedagogický pracovník poskytne ihned potřebnou péči, neprodleně informuje ředitelku, popř. Rodiče a úraz zapíše do Knihy úrazů.</w:t>
      </w:r>
    </w:p>
    <w:p>
      <w:pPr>
        <w:pStyle w:val="Normal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IX.  Pravidla pro zacházení s majetkem při výdeji jídla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Děti mají právo užívat nádobí školní výdejny v souvislosti se školním stravováním. </w:t>
      </w:r>
    </w:p>
    <w:p>
      <w:pPr>
        <w:pStyle w:val="Normal"/>
        <w:numPr>
          <w:ilvl w:val="0"/>
          <w:numId w:val="2"/>
        </w:numPr>
        <w:rPr/>
      </w:pPr>
      <w:r>
        <w:rPr/>
        <w:t>Pracovníci školní jídelny – výdejny oznámí zjištěné závady na zařízení ředitelce školy.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/>
        </w:rPr>
      </w:pPr>
      <w:r>
        <w:rPr>
          <w:rFonts w:cs="Arial"/>
          <w:sz w:val="22"/>
          <w:szCs w:val="22"/>
        </w:rPr>
        <w:t>Projednáno na provozní schůzi dne 27. 8. 2025</w:t>
      </w:r>
    </w:p>
    <w:p>
      <w:pPr>
        <w:pStyle w:val="Normal"/>
        <w:spacing w:lineRule="auto" w:line="360"/>
        <w:ind w:start="360" w:end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</w:t>
      </w:r>
      <w:r>
        <w:rPr>
          <w:rFonts w:cs="Arial" w:ascii="Arial" w:hAnsi="Arial"/>
          <w:sz w:val="22"/>
          <w:szCs w:val="22"/>
        </w:rPr>
        <w:t>...</w:t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  <w:t>Bc. Bohuslava Řehůřková, ředitelka školy</w:t>
      </w:r>
    </w:p>
    <w:p>
      <w:pPr>
        <w:pStyle w:val="Normal"/>
        <w:spacing w:lineRule="auto" w:line="360"/>
        <w:ind w:start="36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  <w:t>Seznámena byla dne 27 .8. 2025</w:t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start="360" w:end="0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start="360" w:end="0"/>
        <w:jc w:val="center"/>
        <w:rPr/>
      </w:pPr>
      <w:r>
        <w:rPr>
          <w:rFonts w:cs="Arial"/>
          <w:sz w:val="22"/>
          <w:szCs w:val="22"/>
        </w:rPr>
        <w:t>4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>
        <w:b w:val="false"/>
        <w:color w:val="000000"/>
      </w:r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SimSun;宋体" w:cs="Times New Roman"/>
      <w:color w:val="auto"/>
      <w:kern w:val="0"/>
      <w:sz w:val="24"/>
      <w:szCs w:val="24"/>
      <w:lang w:val="cs-CZ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1">
    <w:name w:val="WW8Num15z1"/>
    <w:qFormat/>
    <w:rPr>
      <w:b w:val="false"/>
      <w:color w:val="00000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Standardnpsmoodstavce">
    <w:name w:val="Standardní písmo odstavce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Zkladntextodsazen2Char">
    <w:name w:val="Základní text odsazený 2 Char"/>
    <w:qFormat/>
    <w:rPr>
      <w:rFonts w:eastAsia="SimSun;宋体"/>
      <w:sz w:val="24"/>
      <w:szCs w:val="24"/>
      <w:lang w:val="cs-CZ" w:eastAsia="zh-CN" w:bidi="ar-SA"/>
    </w:rPr>
  </w:style>
  <w:style w:type="character" w:styleId="ZhlavChar">
    <w:name w:val="Záhlaví Char"/>
    <w:qFormat/>
    <w:rPr>
      <w:rFonts w:ascii="Calibri" w:hAnsi="Calibri" w:eastAsia="Calibri" w:cs="Calibri"/>
      <w:sz w:val="22"/>
      <w:szCs w:val="22"/>
    </w:rPr>
  </w:style>
  <w:style w:type="character" w:styleId="ZpatChar">
    <w:name w:val="Zápatí Char"/>
    <w:qFormat/>
    <w:rPr>
      <w:sz w:val="24"/>
      <w:szCs w:val="24"/>
      <w:lang w:eastAsia="zh-CN"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  <w:lang w:eastAsia="zh-C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lnweb">
    <w:name w:val="Normální (web)"/>
    <w:basedOn w:val="Normal"/>
    <w:qFormat/>
    <w:pPr>
      <w:spacing w:before="280" w:after="280"/>
    </w:pPr>
    <w:rPr/>
  </w:style>
  <w:style w:type="paragraph" w:styleId="Zkladntextodsazen2">
    <w:name w:val="Základní text odsazený 2"/>
    <w:basedOn w:val="Normal"/>
    <w:qFormat/>
    <w:pPr>
      <w:spacing w:lineRule="auto" w:line="480" w:before="0" w:after="120"/>
      <w:ind w:hanging="0" w:start="283" w:end="0"/>
    </w:pPr>
    <w:rPr/>
  </w:style>
  <w:style w:type="paragraph" w:styleId="PlainText">
    <w:name w:val="Plain Text"/>
    <w:basedOn w:val="Normal"/>
    <w:qFormat/>
    <w:pPr>
      <w:overflowPunct w:val="false"/>
    </w:pPr>
    <w:rPr>
      <w:rFonts w:ascii="Courier New" w:hAnsi="Courier New" w:eastAsia="Times New Roman" w:cs="Courier New"/>
      <w:color w:val="000000"/>
      <w:sz w:val="20"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Times New Roman"/>
      <w:sz w:val="22"/>
      <w:szCs w:val="22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start="708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41</TotalTime>
  <Application>LibreOffice/24.2.7.2$Windows_x86 LibreOffice_project/ee3885777aa7032db5a9b65deec9457448a91162</Application>
  <AppVersion>15.0000</AppVersion>
  <Pages>4</Pages>
  <Words>1152</Words>
  <Characters>6302</Characters>
  <CharactersWithSpaces>7544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2025-09-30T14:22:00Z</dcterms:created>
  <dc:creator>Libor</dc:creator>
  <dc:description/>
  <dc:language>cs-CZ</dc:language>
  <cp:lastModifiedBy/>
  <cp:lastPrinted>2020-02-26T14:21:00Z</cp:lastPrinted>
  <dcterms:modified xsi:type="dcterms:W3CDTF">2025-10-12T17:06:49Z</dcterms:modified>
  <cp:revision>12</cp:revision>
  <dc:subject/>
  <dc:title>Vnitřní řád školní jídelny – výdejny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